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07751" w14:textId="77777777" w:rsidR="00A20A36" w:rsidRDefault="00A20A36">
      <w:pPr>
        <w:rPr>
          <w:b/>
        </w:rPr>
      </w:pPr>
    </w:p>
    <w:p w14:paraId="746E3EA1" w14:textId="28308336" w:rsidR="00A20A36" w:rsidRDefault="00A20A36">
      <w:pPr>
        <w:rPr>
          <w:b/>
        </w:rPr>
      </w:pPr>
      <w:r>
        <w:rPr>
          <w:b/>
        </w:rPr>
        <w:t>Draft Report Created November 10, 2015</w:t>
      </w:r>
    </w:p>
    <w:p w14:paraId="0C06170D" w14:textId="77777777" w:rsidR="00A20A36" w:rsidRDefault="00A20A36">
      <w:pPr>
        <w:rPr>
          <w:b/>
        </w:rPr>
      </w:pPr>
    </w:p>
    <w:p w14:paraId="7EB0C1EE" w14:textId="4465AF62" w:rsidR="00A20A36" w:rsidRDefault="00A20A36">
      <w:pPr>
        <w:rPr>
          <w:b/>
        </w:rPr>
      </w:pPr>
      <w:r>
        <w:rPr>
          <w:b/>
        </w:rPr>
        <w:t>Methods LGBT HHS Survey 2015</w:t>
      </w:r>
    </w:p>
    <w:p w14:paraId="300DECB3" w14:textId="3B446C51" w:rsidR="00A20A36" w:rsidRPr="00A20A36" w:rsidRDefault="00A20A36">
      <w:r>
        <w:t xml:space="preserve">For further information or permission to cite the survey or this methods report, please </w:t>
      </w:r>
      <w:bookmarkStart w:id="0" w:name="_GoBack"/>
      <w:bookmarkEnd w:id="0"/>
      <w:r>
        <w:t xml:space="preserve">contact Somjen Frazer at </w:t>
      </w:r>
      <w:hyperlink r:id="rId9" w:history="1">
        <w:r w:rsidRPr="00CB21FA">
          <w:rPr>
            <w:rStyle w:val="Hyperlink"/>
          </w:rPr>
          <w:t>sfrazer@strengthinnumbersconsulting.com</w:t>
        </w:r>
      </w:hyperlink>
      <w:r w:rsidR="00965939">
        <w:t xml:space="preserve">. </w:t>
      </w:r>
    </w:p>
    <w:p w14:paraId="5E0CC530" w14:textId="77777777" w:rsidR="00A20A36" w:rsidRDefault="00A20A36">
      <w:pPr>
        <w:rPr>
          <w:b/>
        </w:rPr>
      </w:pPr>
    </w:p>
    <w:p w14:paraId="680C80A7" w14:textId="52E2E7AE" w:rsidR="00521AA4" w:rsidRDefault="00521AA4">
      <w:pPr>
        <w:rPr>
          <w:b/>
        </w:rPr>
      </w:pPr>
      <w:r>
        <w:rPr>
          <w:b/>
        </w:rPr>
        <w:t>Survey Design</w:t>
      </w:r>
    </w:p>
    <w:p w14:paraId="4331B9F2" w14:textId="77777777" w:rsidR="00521AA4" w:rsidRDefault="00521AA4">
      <w:pPr>
        <w:rPr>
          <w:b/>
        </w:rPr>
      </w:pPr>
    </w:p>
    <w:p w14:paraId="1DF58B0F" w14:textId="0E5924B1" w:rsidR="00521AA4" w:rsidRDefault="00521AA4">
      <w:r>
        <w:t>Questions about general health and days of poor mental and physical health are taken from Health Related Quality of Life</w:t>
      </w:r>
      <w:r w:rsidR="002A4800">
        <w:t xml:space="preserve"> measures.</w:t>
      </w:r>
      <w:r w:rsidR="002A4800" w:rsidRPr="002A4800">
        <w:t xml:space="preserve"> </w:t>
      </w:r>
      <w:r w:rsidR="002A4800">
        <w:fldChar w:fldCharType="begin"/>
      </w:r>
      <w:r w:rsidR="002A4800">
        <w:instrText xml:space="preserve"> ADDIN ZOTERO_ITEM CSL_CITATION {"citationID":"1em2b4c3pc","properties":{"formattedCitation":"{\\rtf \\super 1\\nosupersub{}}","plainCitation":"1"},"citationItems":[{"id":449,"uris":["http://zotero.org/users/1442646/items/REHWX8Q3"],"uri":["http://zotero.org/users/1442646/items/REHWX8Q3"],"itemData":{"id":449,"type":"article-journal","title":"The Centers for Disease Control and Prevention's Healthy Days Measures - population tracking of perceived physical and mental health over time","container-title":"Health and Quality of Life Outcomes","page":"37","volume":"1","source":"PubMed","abstract":"To promote the health and quality of life of United States residents, the U.S. Department of Health and Human Services' Centers for Disease Control and Prevention (CDC) - with 54 state and territorial health agencies - has supported population surveillance of health-related quality of life (HRQOL). HRQOL was defined as \"perceived physical and mental health over time.\" Commonly-used measures of health status and activity limitation were identified and a set of \"Healthy Days\" HRQOL measures was developed and validated. A core set of these measures (the CDC HRQOL-4) asks about self-rated general health and the number of recent days when a person was physically unhealthy, mentally unhealthy, or limited in usual activities. A summary measure combines physically and mentally unhealthy days. From 1993 to 2001, more than 1.2 million adults responded to the CDC HRQOL-4 in each state-based Behavioral Risk Factor Surveillance System (BRFSS) telephone interview. More than one fifth of all BRFSS respondents also responded to a set of related questions - including five items that assess the presence, main cause and duration of a current activity limitation, and the need for activity-related personal and routine care; as well as five items that ask about recent days of pain, depression, anxiety, sleeplessness, and vitality. The Healthy Days surveillance data are particularly useful for finding unmet health needs, identifying disparities among demographic and socioeconomic subpopulations, characterizing the symptom burden of disabilities and chronic diseases, and tracking population patterns and trends. The full set of 14 Healthy Days Measures (the CDC HRQOL-14) has shown good measurement properties in several populations, languages, and settings. The brief standard CDC HRQOL-4 is now often used in surveys, surveillance systems, prevention research, and population health report cards.","DOI":"10.1186/1477-7525-1-37","ISSN":"1477-7525","note":"PMID: 14498988\nPMCID: PMC201011","journalAbbreviation":"Health Qual Life Outcomes","language":"eng","author":[{"family":"Moriarty","given":"David G."},{"family":"Zack","given":"Mathew M."},{"family":"Kobau","given":"Rosemarie"}],"issued":{"date-parts":[["2003"]]},"PMID":"14498988","PMCID":"PMC201011"}}],"schema":"https://github.com/citation-style-language/schema/raw/master/csl-citation.json"} </w:instrText>
      </w:r>
      <w:r w:rsidR="002A4800">
        <w:fldChar w:fldCharType="separate"/>
      </w:r>
      <w:r w:rsidR="002A4800" w:rsidRPr="002A4800">
        <w:rPr>
          <w:rFonts w:cs="Arial"/>
          <w:szCs w:val="24"/>
          <w:vertAlign w:val="superscript"/>
        </w:rPr>
        <w:t>1</w:t>
      </w:r>
      <w:r w:rsidR="002A4800">
        <w:fldChar w:fldCharType="end"/>
      </w:r>
      <w:r w:rsidR="002A4800" w:rsidRPr="002A4800">
        <w:rPr>
          <w:rFonts w:eastAsia="Times New Roman" w:cs="Times New Roman"/>
        </w:rPr>
        <w:t xml:space="preserve"> </w:t>
      </w:r>
      <w:proofErr w:type="spellStart"/>
      <w:r>
        <w:t>HRQoL</w:t>
      </w:r>
      <w:proofErr w:type="spellEnd"/>
      <w:r>
        <w:t xml:space="preserve"> screeners define “frequent mental distress” as experiencing 14 or more days of poor mental health in the past mont</w:t>
      </w:r>
      <w:r w:rsidR="002A4800">
        <w:t xml:space="preserve">h (30 days). </w:t>
      </w:r>
    </w:p>
    <w:p w14:paraId="4C5068B5" w14:textId="77777777" w:rsidR="00521AA4" w:rsidRDefault="00521AA4"/>
    <w:p w14:paraId="43CDBAD9" w14:textId="310F496D" w:rsidR="00521AA4" w:rsidRDefault="00521AA4">
      <w:pPr>
        <w:rPr>
          <w:rStyle w:val="highlight"/>
          <w:rFonts w:eastAsia="Times New Roman" w:cs="Times New Roman"/>
        </w:rPr>
      </w:pPr>
      <w:r>
        <w:t xml:space="preserve">The depression screener used in the survey is the Patient Health Questionnaire 2 item measure (PHQ-2). The cutoff score is &gt;=3. The screener has a </w:t>
      </w:r>
      <w:r>
        <w:rPr>
          <w:rFonts w:eastAsia="Times New Roman" w:cs="Times New Roman"/>
        </w:rPr>
        <w:t xml:space="preserve">sensitivity of 83% and a specificity of 92% for major </w:t>
      </w:r>
      <w:r>
        <w:rPr>
          <w:rStyle w:val="highlight"/>
          <w:rFonts w:eastAsia="Times New Roman" w:cs="Times New Roman"/>
        </w:rPr>
        <w:t>depression.</w:t>
      </w:r>
      <w:r>
        <w:rPr>
          <w:rStyle w:val="highlight"/>
          <w:rFonts w:eastAsia="Times New Roman" w:cs="Times New Roman"/>
        </w:rPr>
        <w:fldChar w:fldCharType="begin"/>
      </w:r>
      <w:r w:rsidR="002A4800">
        <w:rPr>
          <w:rStyle w:val="highlight"/>
          <w:rFonts w:eastAsia="Times New Roman" w:cs="Times New Roman"/>
        </w:rPr>
        <w:instrText xml:space="preserve"> ADDIN ZOTERO_ITEM CSL_CITATION {"citationID":"22bl6bl8sl","properties":{"formattedCitation":"{\\rtf \\super 2\\nosupersub{}}","plainCitation":"2"},"citationItems":[{"id":440,"uris":["http://zotero.org/users/1442646/items/JS5FKM2U"],"uri":["http://zotero.org/users/1442646/items/JS5FKM2U"],"itemData":{"id":440,"type":"article-journal","title":"The Patient Health Questionnaire-2: validity of a two-item depression screener","container-title":"Medical Care","page":"1284-1292","volume":"41","issue":"11","source":"PubMed","abstract":"BACKGROUND: A number of self-administered questionnaires are available for assessing depression severity, including the 9-item Patient Health Questionnaire depression module (PHQ-9). Because even briefer measures might be desirable for use in busy clinical settings or as part of comprehensive health questionnaires, we evaluated a 2-item version of the PHQ depression module, the PHQ-2.\nMETHODS: The PHQ-2 inquires about the frequency of depressed mood and anhedonia over the past 2 weeks, scoring each as 0 (\"not at all\") to 3 (\"nearly every day\"). The PHQ-2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patients.\nRESULTS: As PHQ-2 depression severity increased from 0 to 6, there was a substantial decrease in functional status on all 6 SF-20 subscales. Also, symptom-related difficulty, sick days, and healthcare utilization increased. Using the MHP reinterview as the criterion standard, a PHQ-2 score &gt; or =3 had a sensitivity of 83% and a specificity of 92% for major depression. Likelihood ratio and receiver operator characteristic analysis identified a PHQ-2 score of 3 as the optimal cutpoint for screening purposes. Results were similar in the primary care and obstetrics-gynecology samples.\nCONCLUSION: The construct and criterion validity of the PHQ-2 make it an attractive measure for depression screening.","DOI":"10.1097/01.MLR.0000093487.78664.3C","ISSN":"0025-7079","note":"PMID: 14583691","shortTitle":"The Patient Health Questionnaire-2","journalAbbreviation":"Med Care","language":"eng","author":[{"family":"Kroenke","given":"Kurt"},{"family":"Spitzer","given":"Robert L."},{"family":"Williams","given":"Janet B. W."}],"issued":{"date-parts":[["2003",11]]},"PMID":"14583691"}}],"schema":"https://github.com/citation-style-language/schema/raw/master/csl-citation.json"} </w:instrText>
      </w:r>
      <w:r>
        <w:rPr>
          <w:rStyle w:val="highlight"/>
          <w:rFonts w:eastAsia="Times New Roman" w:cs="Times New Roman"/>
        </w:rPr>
        <w:fldChar w:fldCharType="separate"/>
      </w:r>
      <w:r w:rsidR="002A4800" w:rsidRPr="002A4800">
        <w:rPr>
          <w:rFonts w:cs="Arial"/>
          <w:szCs w:val="24"/>
          <w:vertAlign w:val="superscript"/>
        </w:rPr>
        <w:t>2</w:t>
      </w:r>
      <w:r>
        <w:rPr>
          <w:rStyle w:val="highlight"/>
          <w:rFonts w:eastAsia="Times New Roman" w:cs="Times New Roman"/>
        </w:rPr>
        <w:fldChar w:fldCharType="end"/>
      </w:r>
      <w:r>
        <w:rPr>
          <w:rStyle w:val="highlight"/>
          <w:rFonts w:eastAsia="Times New Roman" w:cs="Times New Roman"/>
        </w:rPr>
        <w:t xml:space="preserve"> </w:t>
      </w:r>
    </w:p>
    <w:p w14:paraId="47498ABE" w14:textId="77777777" w:rsidR="00521AA4" w:rsidRDefault="00521AA4">
      <w:pPr>
        <w:rPr>
          <w:rStyle w:val="highlight"/>
          <w:rFonts w:eastAsia="Times New Roman" w:cs="Times New Roman"/>
        </w:rPr>
      </w:pPr>
    </w:p>
    <w:p w14:paraId="6B5C6640" w14:textId="0A508DB2" w:rsidR="00521AA4" w:rsidRDefault="00521AA4">
      <w:pPr>
        <w:rPr>
          <w:rStyle w:val="highlight"/>
          <w:rFonts w:eastAsia="Times New Roman" w:cs="Times New Roman"/>
        </w:rPr>
      </w:pPr>
      <w:r>
        <w:rPr>
          <w:rStyle w:val="highlight"/>
          <w:rFonts w:eastAsia="Times New Roman" w:cs="Times New Roman"/>
        </w:rPr>
        <w:t xml:space="preserve">The items measuring loneliness are from </w:t>
      </w:r>
      <w:r w:rsidR="00B61063">
        <w:rPr>
          <w:rStyle w:val="highlight"/>
          <w:rFonts w:eastAsia="Times New Roman" w:cs="Times New Roman"/>
        </w:rPr>
        <w:t xml:space="preserve">the UCLA loneliness scale. It has no specific cutoff point. The scale in the original study has a reliability of 0.72; as used in this study, it has a </w:t>
      </w:r>
      <w:proofErr w:type="spellStart"/>
      <w:r w:rsidR="00B61063">
        <w:rPr>
          <w:rStyle w:val="highlight"/>
          <w:rFonts w:eastAsia="Times New Roman" w:cs="Times New Roman"/>
        </w:rPr>
        <w:t>Chronbach’s</w:t>
      </w:r>
      <w:proofErr w:type="spellEnd"/>
      <w:r w:rsidR="00B61063">
        <w:rPr>
          <w:rStyle w:val="highlight"/>
          <w:rFonts w:eastAsia="Times New Roman" w:cs="Times New Roman"/>
        </w:rPr>
        <w:t xml:space="preserve"> alpha of 0.83.</w:t>
      </w:r>
      <w:r w:rsidR="00B61063">
        <w:rPr>
          <w:rStyle w:val="highlight"/>
          <w:rFonts w:eastAsia="Times New Roman" w:cs="Times New Roman"/>
        </w:rPr>
        <w:fldChar w:fldCharType="begin"/>
      </w:r>
      <w:r w:rsidR="002A4800">
        <w:rPr>
          <w:rStyle w:val="highlight"/>
          <w:rFonts w:eastAsia="Times New Roman" w:cs="Times New Roman"/>
        </w:rPr>
        <w:instrText xml:space="preserve"> ADDIN ZOTERO_ITEM CSL_CITATION {"citationID":"pniqt8nhl","properties":{"formattedCitation":"{\\rtf \\super 3\\nosupersub{}}","plainCitation":"3"},"citationItems":[{"id":445,"uris":["http://zotero.org/users/1442646/items/Z55SCAUC"],"uri":["http://zotero.org/users/1442646/items/Z55SCAUC"],"itemData":{"id":445,"type":"article-journal","title":"A Short Scale for Measuring Loneliness in Large Surveys: Results From Two Population-Based Studies","container-title":"Research on Aging","page":"655-672","volume":"26","issue":"6","source":"PubMed","abstract":"Most studies of social relationships in later life focus on the amount of social contact, not on individuals' perceptions of social isolation. However, loneliness is likely to be an important aspect of aging. A major limiting factor in studying loneliness has been the lack of a measure suitable for large-scale social surveys. This article describes a short loneliness scale developed specifically for use on a telephone survey. The scale has three items and a simplified set of response categories but appears to measure overall loneliness quite well. The authors also document the relationship between loneliness and several commonly used measures of objective social isolation. As expected, they find that objective and subjective isolation are related. However, the relationship is relatively modest, indicating that the quantitative and qualitative aspects of social relationships are distinct. This result suggests the importance of studying both dimensions of social relationships in the aging process.","DOI":"10.1177/0164027504268574","ISSN":"1552-7573","note":"PMID: 18504506\nPMCID: PMC2394670","shortTitle":"A Short Scale for Measuring Loneliness in Large Surveys","journalAbbreviation":"Res Aging","language":"ENG","author":[{"family":"Hughes","given":"Mary Elizabeth"},{"family":"Waite","given":"Linda J."},{"family":"Hawkley","given":"Louise C."},{"family":"Cacioppo","given":"John T."}],"issued":{"date-parts":[["2004"]]},"PMID":"18504506","PMCID":"PMC2394670"}}],"schema":"https://github.com/citation-style-language/schema/raw/master/csl-citation.json"} </w:instrText>
      </w:r>
      <w:r w:rsidR="00B61063">
        <w:rPr>
          <w:rStyle w:val="highlight"/>
          <w:rFonts w:eastAsia="Times New Roman" w:cs="Times New Roman"/>
        </w:rPr>
        <w:fldChar w:fldCharType="separate"/>
      </w:r>
      <w:r w:rsidR="002A4800" w:rsidRPr="002A4800">
        <w:rPr>
          <w:rFonts w:cs="Arial"/>
          <w:szCs w:val="24"/>
          <w:vertAlign w:val="superscript"/>
        </w:rPr>
        <w:t>3</w:t>
      </w:r>
      <w:r w:rsidR="00B61063">
        <w:rPr>
          <w:rStyle w:val="highlight"/>
          <w:rFonts w:eastAsia="Times New Roman" w:cs="Times New Roman"/>
        </w:rPr>
        <w:fldChar w:fldCharType="end"/>
      </w:r>
      <w:r w:rsidR="00B61063">
        <w:rPr>
          <w:rStyle w:val="highlight"/>
          <w:rFonts w:eastAsia="Times New Roman" w:cs="Times New Roman"/>
        </w:rPr>
        <w:t xml:space="preserve"> </w:t>
      </w:r>
    </w:p>
    <w:p w14:paraId="649B004C" w14:textId="77777777" w:rsidR="00B61063" w:rsidRDefault="00B61063">
      <w:pPr>
        <w:rPr>
          <w:rStyle w:val="highlight"/>
          <w:rFonts w:eastAsia="Times New Roman" w:cs="Times New Roman"/>
        </w:rPr>
      </w:pPr>
    </w:p>
    <w:p w14:paraId="29674BE9" w14:textId="7EF8BA0C" w:rsidR="00B61063" w:rsidRPr="00521AA4" w:rsidRDefault="00B61063">
      <w:r>
        <w:rPr>
          <w:rStyle w:val="highlight"/>
          <w:rFonts w:eastAsia="Times New Roman" w:cs="Times New Roman"/>
        </w:rPr>
        <w:t>The items measuring barriers to care adapted from a scale measuring HIV-related barriers to care, with the addition of two barriers to care related to ineligibility for services added as a result of themes arising from focus group discussions</w:t>
      </w:r>
      <w:r>
        <w:rPr>
          <w:rStyle w:val="highlight"/>
          <w:rFonts w:eastAsia="Times New Roman" w:cs="Times New Roman"/>
        </w:rPr>
        <w:fldChar w:fldCharType="begin"/>
      </w:r>
      <w:r w:rsidR="002A4800">
        <w:rPr>
          <w:rStyle w:val="highlight"/>
          <w:rFonts w:eastAsia="Times New Roman" w:cs="Times New Roman"/>
        </w:rPr>
        <w:instrText xml:space="preserve"> ADDIN ZOTERO_ITEM CSL_CITATION {"citationID":"4hv4ddipp","properties":{"formattedCitation":"{\\rtf \\super 4\\nosupersub{}}","plainCitation":"4"},"citationItems":[{"id":48,"uris":["http://zotero.org/users/1442646/items/2ZZPHAEQ"],"uri":["http://zotero.org/users/1442646/items/2ZZPHAEQ"],"itemData":{"id":48,"type":"article-journal","title":"Barriers to care among persons living with HIV/AIDS in urban and rural areas","container-title":"AIDS Care","page":"365-375","volume":"10","issue":"3","source":"Taylor and Francis+NEJM","abstract":"People living with HIV disease, particularly those in small towns and rural areas, face many barriers that prevent them from receiving important life-care services. We developed the Barriers to Care Scale (BACS) to delineate the problem severity of factors that impede care and service provision among a sample of 226 men and women living with HIV disease in a single midwestern state. Both urban and rural respondents indicated that major barriers to life-care services included the lack of knowledge about HIV among citizens in the community, insufficient personal financial resources, the lack of employment opportunities for people living with HIV, and the lack of supportive and understanding work environments. Rural persons living with HIV disease, compared to their urban counterparts, assigned significantly higher problem severity ratings to the following barriers: the need to travel long distances to medical facilities and personnel; a shortage of adequately trained medical and mental health professionals; a lack of personal or public transportation; and community residents' stigma toward people living with HIV. The large number of barriers to care identified in the present study indicates that innovative programmes designed to remove these barriers and improve the life quality of rural persons living with HIV are urgently needed.","DOI":"10.1080/713612410","ISSN":"0954-0121","note":"PMID: 9828979","author":[{"family":"HECKMAN","given":"T. G."},{"family":"SOMLAI","given":"A. M."},{"family":"PETERS","given":"J."},{"family":"WALKER","given":"J."},{"family":"OTTO-SALAJ","given":"L."},{"family":"GALDABINI","given":"C. A."},{"family":"KELLY","given":"J. A."}],"issued":{"date-parts":[["1998",6,1]]},"PMID":"9828979"}}],"schema":"https://github.com/citation-style-language/schema/raw/master/csl-citation.json"} </w:instrText>
      </w:r>
      <w:r>
        <w:rPr>
          <w:rStyle w:val="highlight"/>
          <w:rFonts w:eastAsia="Times New Roman" w:cs="Times New Roman"/>
        </w:rPr>
        <w:fldChar w:fldCharType="separate"/>
      </w:r>
      <w:r w:rsidR="002A4800" w:rsidRPr="002A4800">
        <w:rPr>
          <w:rFonts w:cs="Arial"/>
          <w:szCs w:val="24"/>
          <w:vertAlign w:val="superscript"/>
        </w:rPr>
        <w:t>4</w:t>
      </w:r>
      <w:r>
        <w:rPr>
          <w:rStyle w:val="highlight"/>
          <w:rFonts w:eastAsia="Times New Roman" w:cs="Times New Roman"/>
        </w:rPr>
        <w:fldChar w:fldCharType="end"/>
      </w:r>
    </w:p>
    <w:p w14:paraId="049B3F95" w14:textId="77777777" w:rsidR="00521AA4" w:rsidRDefault="00521AA4">
      <w:pPr>
        <w:rPr>
          <w:b/>
        </w:rPr>
      </w:pPr>
    </w:p>
    <w:p w14:paraId="5B3CC4B2" w14:textId="71CCE8FF" w:rsidR="00521AA4" w:rsidRPr="00521AA4" w:rsidRDefault="00521AA4">
      <w:r>
        <w:t xml:space="preserve">The question wording for the housing insecurity indicator is taken from the National Survey of America’s Families and can be accessed at </w:t>
      </w:r>
      <w:hyperlink r:id="rId10" w:history="1">
        <w:r w:rsidRPr="00E35FED">
          <w:rPr>
            <w:rStyle w:val="Hyperlink"/>
          </w:rPr>
          <w:t>http://tools.nccor.org/css/system/53/</w:t>
        </w:r>
      </w:hyperlink>
      <w:proofErr w:type="gramStart"/>
      <w:r>
        <w:t xml:space="preserve"> .</w:t>
      </w:r>
      <w:proofErr w:type="gramEnd"/>
    </w:p>
    <w:p w14:paraId="21D749F3" w14:textId="77777777" w:rsidR="00521AA4" w:rsidRDefault="00521AA4">
      <w:pPr>
        <w:rPr>
          <w:b/>
        </w:rPr>
      </w:pPr>
    </w:p>
    <w:p w14:paraId="49A5205B" w14:textId="3D65C87E" w:rsidR="00521AA4" w:rsidRPr="00521AA4" w:rsidRDefault="00521AA4">
      <w:r>
        <w:t xml:space="preserve">The question wording for our food insecurity indicator is taken verbatim from the first stage screener of the USDA food insecurity (HH2-HH4) screener and can be accessed at </w:t>
      </w:r>
      <w:hyperlink r:id="rId11" w:anchor="adult" w:history="1">
        <w:r w:rsidRPr="00E35FED">
          <w:rPr>
            <w:rStyle w:val="Hyperlink"/>
          </w:rPr>
          <w:t>http://www.ers.usda.gov/topics/food-nutrition-assistance/food-security-in-the-us/survey-tools.aspx#adult</w:t>
        </w:r>
      </w:hyperlink>
      <w:proofErr w:type="gramStart"/>
      <w:r>
        <w:t xml:space="preserve"> .</w:t>
      </w:r>
      <w:proofErr w:type="gramEnd"/>
    </w:p>
    <w:p w14:paraId="08233496" w14:textId="77777777" w:rsidR="00521AA4" w:rsidRDefault="00521AA4">
      <w:pPr>
        <w:rPr>
          <w:b/>
        </w:rPr>
      </w:pPr>
    </w:p>
    <w:p w14:paraId="42B0683A" w14:textId="189C56E1" w:rsidR="00521AA4" w:rsidRDefault="00521AA4">
      <w:r>
        <w:t>The question wording for the disability indicator</w:t>
      </w:r>
    </w:p>
    <w:p w14:paraId="5E0FE91E" w14:textId="61F827FE" w:rsidR="00521AA4" w:rsidRDefault="00521AA4">
      <w:proofErr w:type="gramStart"/>
      <w:r>
        <w:t>is</w:t>
      </w:r>
      <w:proofErr w:type="gramEnd"/>
      <w:r>
        <w:t xml:space="preserve"> a modification of the question from the Health Reform Survey, which can be accessed at </w:t>
      </w:r>
      <w:hyperlink r:id="rId12" w:history="1">
        <w:r w:rsidRPr="00E35FED">
          <w:rPr>
            <w:rStyle w:val="Hyperlink"/>
          </w:rPr>
          <w:t>http://hrms.urban.org/survey-instrument/HRMS-Quarter-1-2015-survey.pdf</w:t>
        </w:r>
      </w:hyperlink>
      <w:r>
        <w:t xml:space="preserve"> . The question was modified as a result of input from advocates for disabled adults who run an LGBT-specific support group. </w:t>
      </w:r>
    </w:p>
    <w:p w14:paraId="0DEB3CAE" w14:textId="68266B62" w:rsidR="00040747" w:rsidRDefault="00040747">
      <w:pPr>
        <w:rPr>
          <w:b/>
        </w:rPr>
      </w:pPr>
    </w:p>
    <w:p w14:paraId="4FBF323C" w14:textId="77777777" w:rsidR="00521AA4" w:rsidRDefault="00521AA4">
      <w:pPr>
        <w:rPr>
          <w:b/>
        </w:rPr>
      </w:pPr>
    </w:p>
    <w:p w14:paraId="16D8B907" w14:textId="77777777" w:rsidR="00040747" w:rsidRDefault="00040747">
      <w:pPr>
        <w:rPr>
          <w:b/>
        </w:rPr>
      </w:pPr>
    </w:p>
    <w:p w14:paraId="705EDD17" w14:textId="06813C26" w:rsidR="00040747" w:rsidRDefault="00040747">
      <w:pPr>
        <w:rPr>
          <w:b/>
        </w:rPr>
      </w:pPr>
      <w:r>
        <w:rPr>
          <w:b/>
        </w:rPr>
        <w:t>Inclusion</w:t>
      </w:r>
    </w:p>
    <w:p w14:paraId="0254B3C5" w14:textId="7CCCC700" w:rsidR="00040747" w:rsidRDefault="00BE577A">
      <w:r>
        <w:t xml:space="preserve">Responses were included if they selected a valid age category, answered either sexual orientation or gender identity questions with at least one response and were not </w:t>
      </w:r>
      <w:r w:rsidR="00491150">
        <w:t>both</w:t>
      </w:r>
      <w:r w:rsidR="002A229E">
        <w:t xml:space="preserve"> </w:t>
      </w:r>
      <w:r w:rsidR="002B2EEA">
        <w:t>straight and non-transgender</w:t>
      </w:r>
      <w:r w:rsidR="00491150">
        <w:t xml:space="preserve">. Exceptions were made to the last criteria if respondents said they had ever used </w:t>
      </w:r>
      <w:r w:rsidR="002A229E">
        <w:t xml:space="preserve">LGBT health and human services. </w:t>
      </w:r>
      <w:r w:rsidR="00600438">
        <w:t xml:space="preserve">In other words, responses were excluded if they did not select a valid age category, if they did not answer either sexual orientation or gender identity questions with at least one response and if they </w:t>
      </w:r>
      <w:r w:rsidR="00600438">
        <w:lastRenderedPageBreak/>
        <w:t xml:space="preserve">were straight and non-transgender and had never used LGBT health and human services. </w:t>
      </w:r>
    </w:p>
    <w:p w14:paraId="56FB5371" w14:textId="77777777" w:rsidR="00491150" w:rsidRDefault="00491150"/>
    <w:p w14:paraId="02BD0D6A" w14:textId="7BA791F1" w:rsidR="00491150" w:rsidRDefault="00491150">
      <w:r>
        <w:t xml:space="preserve">This inclusion </w:t>
      </w:r>
      <w:proofErr w:type="gramStart"/>
      <w:r>
        <w:t>criteria</w:t>
      </w:r>
      <w:proofErr w:type="gramEnd"/>
      <w:r>
        <w:t xml:space="preserve"> was selected because the survey is of the LGBT community, so survey respondents who are neither from that community nor using its services should not be included in the final analysis. </w:t>
      </w:r>
    </w:p>
    <w:p w14:paraId="76431E8A" w14:textId="77777777" w:rsidR="00B61063" w:rsidRDefault="00B61063"/>
    <w:p w14:paraId="41B4363B" w14:textId="77777777" w:rsidR="00B61063" w:rsidRDefault="00B61063"/>
    <w:p w14:paraId="769B0789" w14:textId="0466942A" w:rsidR="0038566D" w:rsidRPr="003937D5" w:rsidRDefault="00B61063">
      <w:pPr>
        <w:rPr>
          <w:b/>
        </w:rPr>
      </w:pPr>
      <w:r w:rsidRPr="002A4800">
        <w:rPr>
          <w:b/>
        </w:rPr>
        <w:t>Data Cleaning and Analysis</w:t>
      </w:r>
      <w:r w:rsidR="00A20A36">
        <w:rPr>
          <w:b/>
        </w:rPr>
        <w:t xml:space="preserve">: </w:t>
      </w:r>
      <w:r w:rsidR="0038566D" w:rsidRPr="003937D5">
        <w:rPr>
          <w:b/>
        </w:rPr>
        <w:t>Race/ethnicity, gender identity and sexual orientation</w:t>
      </w:r>
    </w:p>
    <w:p w14:paraId="347CF899" w14:textId="77777777" w:rsidR="0038566D" w:rsidRDefault="0038566D"/>
    <w:p w14:paraId="3959D9BA" w14:textId="5AAAE1BA" w:rsidR="0038566D" w:rsidRDefault="0038566D">
      <w:r>
        <w:t xml:space="preserve">Race/ethnicity, gender identity and sexual orientation were asked using a combination of categories that could be selected by the respondent and write-in responses for those who identify with identities other than those in the list of categories. </w:t>
      </w:r>
      <w:r w:rsidR="00130C9C">
        <w:t xml:space="preserve">All three questions allowed respondents to check all identities that apply. </w:t>
      </w:r>
      <w:r w:rsidR="00416732">
        <w:t xml:space="preserve">Within each question, respondents who did not answer the question or who answered using an irrelevant response were coded as “missing” </w:t>
      </w:r>
      <w:r w:rsidR="00491150">
        <w:t xml:space="preserve">for that variable </w:t>
      </w:r>
      <w:r w:rsidR="00416732">
        <w:t xml:space="preserve">but were otherwise included in data analysis. </w:t>
      </w:r>
    </w:p>
    <w:p w14:paraId="4DE1634A" w14:textId="77777777" w:rsidR="00491150" w:rsidRDefault="00491150"/>
    <w:p w14:paraId="6C8F3B43" w14:textId="10C55DEB" w:rsidR="00491150" w:rsidRPr="00600438" w:rsidRDefault="00491150" w:rsidP="00491150">
      <w:r>
        <w:t>It was decided that new categories would be created from open-ended responses only if there were 20 or more write-in responses of the new category. Thus far, the only category that has been newly created accordin</w:t>
      </w:r>
      <w:r w:rsidR="00A20A36">
        <w:t xml:space="preserve">g to </w:t>
      </w:r>
      <w:proofErr w:type="gramStart"/>
      <w:r w:rsidR="00A20A36">
        <w:t>this criteria</w:t>
      </w:r>
      <w:proofErr w:type="gramEnd"/>
      <w:r w:rsidR="00A20A36">
        <w:t xml:space="preserve"> is “asexual” (see below)</w:t>
      </w:r>
    </w:p>
    <w:p w14:paraId="66D7294C" w14:textId="77777777" w:rsidR="00416732" w:rsidRDefault="00416732"/>
    <w:p w14:paraId="675839D3" w14:textId="77777777" w:rsidR="0038566D" w:rsidRPr="003937D5" w:rsidRDefault="0038566D">
      <w:pPr>
        <w:rPr>
          <w:i/>
        </w:rPr>
      </w:pPr>
      <w:r w:rsidRPr="003937D5">
        <w:rPr>
          <w:i/>
        </w:rPr>
        <w:t>Race and Ethnicity</w:t>
      </w:r>
    </w:p>
    <w:p w14:paraId="3EAF3F1A" w14:textId="77777777" w:rsidR="0038566D" w:rsidRDefault="0038566D"/>
    <w:p w14:paraId="64148E0D" w14:textId="77777777" w:rsidR="00130C9C" w:rsidRDefault="0038566D" w:rsidP="00130C9C">
      <w:r>
        <w:t xml:space="preserve">Race and ethnicity categories included </w:t>
      </w:r>
      <w:r w:rsidR="00130C9C">
        <w:t xml:space="preserve">(1) American Indian, Native American, Native Hawaiian or Alaska Native, (2) Arab American or Middle Eastern, (3) Asian, Asian American or Pacific Islander, (4) Black or African American, (5) Caribbean, (6) Latino/a, Hispanic or Spanish and (7) White or Caucasian. Survey respondents who selected “Any other race or ethnicity not listed here” and wrote in responses equivalent to existing categories were recoded into those categories. For example, respondents who wrote “Italian American” or “Irish” were recoded into White or Caucasian. </w:t>
      </w:r>
    </w:p>
    <w:p w14:paraId="039A7F1D" w14:textId="77777777" w:rsidR="00130C9C" w:rsidRDefault="00130C9C" w:rsidP="00130C9C"/>
    <w:p w14:paraId="590B2EB6" w14:textId="49738675" w:rsidR="00130C9C" w:rsidRDefault="00130C9C" w:rsidP="00130C9C">
      <w:r>
        <w:t>Respondents who selected more than one race or ethnicity were recoded into a multiracial/multiethnic category, as were respondents who wrote</w:t>
      </w:r>
      <w:r w:rsidR="00600438">
        <w:t xml:space="preserve"> in responses such as</w:t>
      </w:r>
      <w:r>
        <w:t xml:space="preserve"> “mixed,” “multiracial” or “biracial”. Respondents who did not select any race or ethnicity categories and wrote non-racial/non-ethnic responses such as “human” or “alien” were coded as missing for race/ethnicity.  </w:t>
      </w:r>
    </w:p>
    <w:p w14:paraId="1D0BD848" w14:textId="77777777" w:rsidR="0038566D" w:rsidRDefault="0038566D"/>
    <w:p w14:paraId="6A7505AA" w14:textId="77777777" w:rsidR="0038566D" w:rsidRDefault="0038566D"/>
    <w:p w14:paraId="26673DD9" w14:textId="77777777" w:rsidR="00416732" w:rsidRPr="003937D5" w:rsidRDefault="00130C9C" w:rsidP="00416732">
      <w:pPr>
        <w:rPr>
          <w:i/>
        </w:rPr>
      </w:pPr>
      <w:r w:rsidRPr="003937D5">
        <w:rPr>
          <w:i/>
        </w:rPr>
        <w:t xml:space="preserve">Sex and </w:t>
      </w:r>
      <w:r w:rsidR="0038566D" w:rsidRPr="003937D5">
        <w:rPr>
          <w:i/>
        </w:rPr>
        <w:t>Gender Identity</w:t>
      </w:r>
    </w:p>
    <w:p w14:paraId="61BC87AB" w14:textId="77777777" w:rsidR="00130C9C" w:rsidRDefault="00130C9C" w:rsidP="00416732">
      <w:r>
        <w:t xml:space="preserve">Sex assigned at birth was ascertained by </w:t>
      </w:r>
      <w:proofErr w:type="gramStart"/>
      <w:r>
        <w:t>asking</w:t>
      </w:r>
      <w:proofErr w:type="gramEnd"/>
      <w:r>
        <w:t xml:space="preserve"> “What was the sex on your original birth certificate? Please select one answer” with the answer choices male, female, intersex and not sure. While New York State birth certificates allow only male or female as assigned sex at birth, because survey respondents could be from other locations, intersex was included to assure inclusivity. </w:t>
      </w:r>
    </w:p>
    <w:p w14:paraId="18ADA329" w14:textId="77777777" w:rsidR="00130C9C" w:rsidRDefault="00130C9C" w:rsidP="00130C9C">
      <w:pPr>
        <w:keepNext/>
      </w:pPr>
    </w:p>
    <w:p w14:paraId="58590EEB" w14:textId="77777777" w:rsidR="00130C9C" w:rsidRDefault="00130C9C" w:rsidP="00BF4FE6">
      <w:pPr>
        <w:keepNext/>
      </w:pPr>
      <w:r>
        <w:t xml:space="preserve">Current gender identity categories that could be selected by survey respondents included (1) Male, man or boy, (2) Female, woman or girl, (3) Transgender, (4) Male-to-female, MTF, </w:t>
      </w:r>
      <w:proofErr w:type="spellStart"/>
      <w:r>
        <w:t>transwoman</w:t>
      </w:r>
      <w:proofErr w:type="spellEnd"/>
      <w:r w:rsidR="00416732">
        <w:t xml:space="preserve">, </w:t>
      </w:r>
      <w:proofErr w:type="spellStart"/>
      <w:r w:rsidR="00416732">
        <w:t>transfeminine</w:t>
      </w:r>
      <w:proofErr w:type="spellEnd"/>
      <w:r w:rsidR="00416732">
        <w:t xml:space="preserve"> or </w:t>
      </w:r>
      <w:proofErr w:type="spellStart"/>
      <w:r w:rsidR="00416732">
        <w:t>transgirl</w:t>
      </w:r>
      <w:proofErr w:type="spellEnd"/>
      <w:r w:rsidR="00416732">
        <w:t xml:space="preserve">,  (5) </w:t>
      </w:r>
      <w:r>
        <w:t xml:space="preserve">Female-to-male, FTM, </w:t>
      </w:r>
      <w:proofErr w:type="spellStart"/>
      <w:r>
        <w:t>transman</w:t>
      </w:r>
      <w:proofErr w:type="spellEnd"/>
      <w:r w:rsidR="00416732">
        <w:t xml:space="preserve">, </w:t>
      </w:r>
      <w:proofErr w:type="spellStart"/>
      <w:r w:rsidR="00416732">
        <w:t>transmasculine</w:t>
      </w:r>
      <w:proofErr w:type="spellEnd"/>
      <w:r w:rsidR="00416732">
        <w:t xml:space="preserve"> or </w:t>
      </w:r>
      <w:proofErr w:type="spellStart"/>
      <w:r w:rsidR="00416732">
        <w:t>transguy</w:t>
      </w:r>
      <w:proofErr w:type="spellEnd"/>
      <w:r w:rsidR="00416732">
        <w:t xml:space="preserve">, (6) </w:t>
      </w:r>
      <w:r>
        <w:t>Genderq</w:t>
      </w:r>
      <w:r w:rsidR="00416732">
        <w:t xml:space="preserve">ueer or gender nonconforming, (7) AG, Aggressive or stud, (8) </w:t>
      </w:r>
      <w:proofErr w:type="gramStart"/>
      <w:r w:rsidR="00BF4FE6">
        <w:t>Butch, (9) Femme, (10) Intersex and (11) Two-spirit.</w:t>
      </w:r>
      <w:proofErr w:type="gramEnd"/>
      <w:r w:rsidR="00BF4FE6">
        <w:t xml:space="preserve"> </w:t>
      </w:r>
    </w:p>
    <w:p w14:paraId="6B9E41F5" w14:textId="77777777" w:rsidR="00BF4FE6" w:rsidRDefault="00BF4FE6" w:rsidP="00BF4FE6">
      <w:pPr>
        <w:keepNext/>
      </w:pPr>
    </w:p>
    <w:p w14:paraId="3155461F" w14:textId="77777777" w:rsidR="00BF4FE6" w:rsidRDefault="00BF4FE6" w:rsidP="00BF4FE6">
      <w:pPr>
        <w:keepNext/>
      </w:pPr>
      <w:r>
        <w:t xml:space="preserve">Survey respondents who selected “Any other gender identity not listed here” and wrote in responses equivalent to existing categories were recoded into those categories. For example, “soft butch” was recoded into “butch” and “queer” into “genderqueer”. </w:t>
      </w:r>
    </w:p>
    <w:p w14:paraId="2F6FDF51" w14:textId="77777777" w:rsidR="00130C9C" w:rsidRDefault="00130C9C" w:rsidP="00130C9C">
      <w:pPr>
        <w:keepNext/>
      </w:pPr>
      <w:r>
        <w:t xml:space="preserve"> </w:t>
      </w:r>
    </w:p>
    <w:p w14:paraId="71D6E7E9" w14:textId="77777777" w:rsidR="00416732" w:rsidRDefault="00416732" w:rsidP="00130C9C">
      <w:pPr>
        <w:keepNext/>
      </w:pPr>
      <w:r>
        <w:t xml:space="preserve">Respondents who selected male for their sex assigned at birth and female, woman or girl were recoded as “male-to-female, MTF, </w:t>
      </w:r>
      <w:proofErr w:type="spellStart"/>
      <w:r>
        <w:t>transwoman</w:t>
      </w:r>
      <w:proofErr w:type="spellEnd"/>
      <w:r>
        <w:t xml:space="preserve">, </w:t>
      </w:r>
      <w:proofErr w:type="spellStart"/>
      <w:r>
        <w:t>transfeminine</w:t>
      </w:r>
      <w:proofErr w:type="spellEnd"/>
      <w:r>
        <w:t xml:space="preserve"> or </w:t>
      </w:r>
      <w:proofErr w:type="spellStart"/>
      <w:r>
        <w:t>transgirl</w:t>
      </w:r>
      <w:proofErr w:type="spellEnd"/>
      <w:r>
        <w:t xml:space="preserve">”; respondents who selected female for their sex assigned at birth and male, man or boy were recoded as “female-to-male, FTM, </w:t>
      </w:r>
      <w:proofErr w:type="spellStart"/>
      <w:r>
        <w:t>transman</w:t>
      </w:r>
      <w:proofErr w:type="spellEnd"/>
      <w:r>
        <w:t xml:space="preserve">, </w:t>
      </w:r>
      <w:proofErr w:type="spellStart"/>
      <w:r>
        <w:t>transmasculine</w:t>
      </w:r>
      <w:proofErr w:type="spellEnd"/>
      <w:r>
        <w:t xml:space="preserve"> or </w:t>
      </w:r>
      <w:proofErr w:type="spellStart"/>
      <w:r>
        <w:t>transguy</w:t>
      </w:r>
      <w:proofErr w:type="spellEnd"/>
      <w:r>
        <w:t xml:space="preserve">”. All respondents who selected or were recoded as transgender or as male-to-female or female-to-male were included in the category “transgender”. </w:t>
      </w:r>
    </w:p>
    <w:p w14:paraId="5C8BCC68" w14:textId="77777777" w:rsidR="00416732" w:rsidRDefault="00416732" w:rsidP="00130C9C">
      <w:pPr>
        <w:keepNext/>
      </w:pPr>
    </w:p>
    <w:p w14:paraId="7A2D87DF" w14:textId="6FFA01BB" w:rsidR="00416732" w:rsidRDefault="00416732" w:rsidP="00130C9C">
      <w:pPr>
        <w:keepNext/>
      </w:pPr>
      <w:r>
        <w:t xml:space="preserve">Respondents who selected genderqueer or gender nonconforming were recoded into a new category of genderqueer, gender nonconforming, </w:t>
      </w:r>
      <w:proofErr w:type="spellStart"/>
      <w:r>
        <w:t>genderfluid</w:t>
      </w:r>
      <w:proofErr w:type="spellEnd"/>
      <w:r>
        <w:t xml:space="preserve"> and non-binary gender, along wit</w:t>
      </w:r>
      <w:r w:rsidR="00600438">
        <w:t>h</w:t>
      </w:r>
      <w:r>
        <w:t xml:space="preserve"> those who wrote in </w:t>
      </w:r>
      <w:proofErr w:type="spellStart"/>
      <w:r>
        <w:t>genderfluid</w:t>
      </w:r>
      <w:proofErr w:type="spellEnd"/>
      <w:r>
        <w:t xml:space="preserve"> and non-binary. This variable is referred to as “Gender nonconforming” or “GNC” in the text. </w:t>
      </w:r>
    </w:p>
    <w:p w14:paraId="3FC26AE6" w14:textId="77777777" w:rsidR="00416732" w:rsidRDefault="00416732" w:rsidP="00130C9C">
      <w:pPr>
        <w:keepNext/>
      </w:pPr>
    </w:p>
    <w:p w14:paraId="208BE12F" w14:textId="77777777" w:rsidR="00416732" w:rsidRDefault="00416732" w:rsidP="00130C9C">
      <w:pPr>
        <w:keepNext/>
      </w:pPr>
      <w:r>
        <w:t xml:space="preserve">True “other” categories included </w:t>
      </w:r>
      <w:proofErr w:type="spellStart"/>
      <w:r>
        <w:t>agender</w:t>
      </w:r>
      <w:proofErr w:type="spellEnd"/>
      <w:r>
        <w:t xml:space="preserve">, demi- prefix genders, </w:t>
      </w:r>
      <w:r w:rsidR="00BF4FE6">
        <w:t xml:space="preserve">questioning and write-in genders that had no resemblance to any other categorical or write-in gender. </w:t>
      </w:r>
    </w:p>
    <w:p w14:paraId="75961B9E" w14:textId="77777777" w:rsidR="00BE577A" w:rsidRDefault="00BE577A" w:rsidP="00130C9C">
      <w:pPr>
        <w:keepNext/>
      </w:pPr>
    </w:p>
    <w:p w14:paraId="314A8392" w14:textId="0A5A7C52" w:rsidR="00BF4FE6" w:rsidRDefault="00BE577A" w:rsidP="00130C9C">
      <w:pPr>
        <w:keepNext/>
      </w:pPr>
      <w:r>
        <w:t xml:space="preserve">Respondents who selected no current gender identities but did select a birth sex were recoded as their birth sex. </w:t>
      </w:r>
    </w:p>
    <w:p w14:paraId="12A6340F" w14:textId="77777777" w:rsidR="0038566D" w:rsidRDefault="0038566D"/>
    <w:p w14:paraId="0D27E9E3" w14:textId="77777777" w:rsidR="0038566D" w:rsidRDefault="0038566D">
      <w:pPr>
        <w:rPr>
          <w:i/>
        </w:rPr>
      </w:pPr>
      <w:r w:rsidRPr="003937D5">
        <w:rPr>
          <w:i/>
        </w:rPr>
        <w:t>Sexual Orientation</w:t>
      </w:r>
    </w:p>
    <w:p w14:paraId="4F44530D" w14:textId="1339A413" w:rsidR="00BF4FE6" w:rsidRDefault="003D00D1">
      <w:r>
        <w:t xml:space="preserve">Sexual orientation categories that could be selected by respondents included (1) Gay or homosexual, (2) Lesbian, (3) Bisexual, (4) Queer, (5) Pansexual and (6) Heterosexual or straight. Survey respondents who selected “Any other sexual orientation not listed here” and wrote in responses equivalent to existing categories were recoded into those categories. </w:t>
      </w:r>
      <w:r w:rsidR="00F364DF">
        <w:t xml:space="preserve">The category of “asexual” was also created from open-ended responses. </w:t>
      </w:r>
    </w:p>
    <w:p w14:paraId="448639AA" w14:textId="77777777" w:rsidR="003D00D1" w:rsidRDefault="003D00D1"/>
    <w:p w14:paraId="5B56E146" w14:textId="77777777" w:rsidR="00B61063" w:rsidRDefault="00B61063"/>
    <w:p w14:paraId="1C3A19BF" w14:textId="77777777" w:rsidR="0038566D" w:rsidRDefault="0038566D"/>
    <w:sectPr w:rsidR="0038566D" w:rsidSect="006B669F">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8A113" w14:textId="77777777" w:rsidR="00965939" w:rsidRDefault="00965939" w:rsidP="00A20A36">
      <w:r>
        <w:separator/>
      </w:r>
    </w:p>
  </w:endnote>
  <w:endnote w:type="continuationSeparator" w:id="0">
    <w:p w14:paraId="0295CFCF" w14:textId="77777777" w:rsidR="00965939" w:rsidRDefault="00965939" w:rsidP="00A2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674D17" w14:textId="77777777" w:rsidR="00965939" w:rsidRDefault="009659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755BB8" w14:textId="77777777" w:rsidR="00965939" w:rsidRDefault="0096593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C407B6" w14:textId="77777777" w:rsidR="00965939" w:rsidRDefault="009659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F5DD8" w14:textId="77777777" w:rsidR="00965939" w:rsidRDefault="00965939" w:rsidP="00A20A36">
      <w:r>
        <w:separator/>
      </w:r>
    </w:p>
  </w:footnote>
  <w:footnote w:type="continuationSeparator" w:id="0">
    <w:p w14:paraId="5F706C18" w14:textId="77777777" w:rsidR="00965939" w:rsidRDefault="00965939" w:rsidP="00A20A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3B63FE" w14:textId="38B7A8A6" w:rsidR="00965939" w:rsidRDefault="00965939">
    <w:pPr>
      <w:pStyle w:val="Header"/>
    </w:pPr>
    <w:r>
      <w:rPr>
        <w:noProof/>
      </w:rPr>
      <w:pict w14:anchorId="54B1813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87.25pt;height:21.75pt;rotation:315;z-index:-251649024;mso-wrap-edited:f;mso-position-horizontal:center;mso-position-horizontal-relative:margin;mso-position-vertical:center;mso-position-vertical-relative:margin" wrapcoords="21462 5213 21186 5213 20965 5958 20800 5213 20110 0 19724 5213 19668 7448 19531 5958 19062 5213 18400 5213 17958 1489 17737 1489 17655 3724 17406 1489 16965 4468 16800 6703 12689 -96082 15806 5213 15586 1489 15365 2234 15199 5213 14868 2979 14537 1489 14565 5213 12717 5213 12386 2234 12193 2234 12082 5213 11475 5213 11062 1489 10813 744 10731 2979 10593 1489 10206 5213 9958 5958 9765 3724 9268 -3724 8937 5213 8689 5213 8606 5958 8496 9682 8193 2979 7889 744 7724 5213 7448 5213 7200 5958 6786 4468 6400 1489 6206 5213 6068 10427 5737 5213 5351 2234 5213 5213 4055 4468 3806 5213 3117 5213 2786 7448 2731 7448 1958 1489 1931 1489 1351 2234 1324 2234 882 6703 579 3724 137 744 27 2234 -27 12662 0 13406 165 17875 1268 17131 1572 20110 1737 16386 1931 16386 2400 20855 2537 17131 2703 20855 2979 20855 3172 16386 3779 17875 3806 17875 4137 22344 4331 18620 4965 17875 5048 16386 5737 17875 6344 17875 6868 17131 6868 16386 7227 17875 7310 16386 7337 12662 7641 19365 7972 16386 8055 14151 8193 17131 8717 20110 8800 17875 9268 17131 9544 20110 9820 11917 9986 14896 10455 23089 10675 17875 10979 17875 11062 16386 11089 12662 11393 19365 11724 16386 11806 14151 11944 17131 12441 19365 12524 17131 12689 20855 12910 21600 13186 17131 13682 17875 13737 16386 14013 18620 14206 16386 14262 13406 14455 17875 16468 17875 16524 8937 12689 -96082 17268 17875 17324 16386 17379 13406 17793 17131 17986 17131 18013 14151 18179 17131 18593 18620 18758 16386 19337 17875 19393 16386 20000 17875 20027 17875 20331 17875 20468 16386 20468 12662 20937 17875 21075 16386 21103 12662 21379 19365 21600 14151 21600 8937 21462 5213" fillcolor="silver" stroked="f">
          <v:textpath style="font-family:&quot;Arial&quot;;font-size:1pt" string="Draft in progress do not cite without permission of the authors"/>
        </v:shape>
      </w:pict>
    </w:r>
    <w:r>
      <w:rPr>
        <w:noProof/>
      </w:rPr>
      <w:pict w14:anchorId="3B512A21">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07CC22" w14:textId="29E4487C" w:rsidR="00965939" w:rsidRDefault="00965939">
    <w:pPr>
      <w:pStyle w:val="Header"/>
    </w:pPr>
    <w:r>
      <w:rPr>
        <w:noProof/>
      </w:rPr>
      <w:pict w14:anchorId="3FC955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87.25pt;height:21.75pt;rotation:315;z-index:-251651072;mso-wrap-edited:f;mso-position-horizontal:center;mso-position-horizontal-relative:margin;mso-position-vertical:center;mso-position-vertical-relative:margin" wrapcoords="21462 5213 21186 5213 20965 5958 20800 5213 20110 0 19724 5213 19668 7448 19531 5958 19062 5213 18400 5213 17958 1489 17737 1489 17655 3724 17406 1489 16965 4468 16800 6703 12689 -96082 15806 5213 15586 1489 15365 2234 15199 5213 14868 2979 14537 1489 14565 5213 12717 5213 12386 2234 12193 2234 12082 5213 11475 5213 11062 1489 10813 744 10731 2979 10593 1489 10206 5213 9958 5958 9765 3724 9268 -3724 8937 5213 8689 5213 8606 5958 8496 9682 8193 2979 7889 744 7724 5213 7448 5213 7200 5958 6786 4468 6400 1489 6206 5213 6068 10427 5737 5213 5351 2234 5213 5213 4055 4468 3806 5213 3117 5213 2786 7448 2731 7448 1958 1489 1931 1489 1351 2234 1324 2234 882 6703 579 3724 137 744 27 2234 -27 12662 0 13406 165 17875 1268 17131 1572 20110 1737 16386 1931 16386 2400 20855 2537 17131 2703 20855 2979 20855 3172 16386 3779 17875 3806 17875 4137 22344 4331 18620 4965 17875 5048 16386 5737 17875 6344 17875 6868 17131 6868 16386 7227 17875 7310 16386 7337 12662 7641 19365 7972 16386 8055 14151 8193 17131 8717 20110 8800 17875 9268 17131 9544 20110 9820 11917 9986 14896 10455 23089 10675 17875 10979 17875 11062 16386 11089 12662 11393 19365 11724 16386 11806 14151 11944 17131 12441 19365 12524 17131 12689 20855 12910 21600 13186 17131 13682 17875 13737 16386 14013 18620 14206 16386 14262 13406 14455 17875 16468 17875 16524 8937 12689 -96082 17268 17875 17324 16386 17379 13406 17793 17131 17986 17131 18013 14151 18179 17131 18593 18620 18758 16386 19337 17875 19393 16386 20000 17875 20027 17875 20331 17875 20468 16386 20468 12662 20937 17875 21075 16386 21103 12662 21379 19365 21600 14151 21600 8937 21462 5213" fillcolor="silver" stroked="f">
          <v:textpath style="font-family:&quot;Arial&quot;;font-size:1pt" string="Draft in progress do not cite without permission of the authors"/>
        </v:shape>
      </w:pict>
    </w:r>
    <w:r>
      <w:rPr>
        <w:noProof/>
      </w:rPr>
      <w:pict w14:anchorId="447D4424">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1A9B3D" w14:textId="31FE8A31" w:rsidR="00965939" w:rsidRDefault="00965939">
    <w:pPr>
      <w:pStyle w:val="Header"/>
    </w:pPr>
    <w:r>
      <w:rPr>
        <w:noProof/>
      </w:rPr>
      <w:pict w14:anchorId="3B150F7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87.25pt;height:21.75pt;rotation:315;z-index:-251646976;mso-wrap-edited:f;mso-position-horizontal:center;mso-position-horizontal-relative:margin;mso-position-vertical:center;mso-position-vertical-relative:margin" wrapcoords="21462 5213 21186 5213 20965 5958 20800 5213 20110 0 19724 5213 19668 7448 19531 5958 19062 5213 18400 5213 17958 1489 17737 1489 17655 3724 17406 1489 16965 4468 16800 6703 12689 -96082 15806 5213 15586 1489 15365 2234 15199 5213 14868 2979 14537 1489 14565 5213 12717 5213 12386 2234 12193 2234 12082 5213 11475 5213 11062 1489 10813 744 10731 2979 10593 1489 10206 5213 9958 5958 9765 3724 9268 -3724 8937 5213 8689 5213 8606 5958 8496 9682 8193 2979 7889 744 7724 5213 7448 5213 7200 5958 6786 4468 6400 1489 6206 5213 6068 10427 5737 5213 5351 2234 5213 5213 4055 4468 3806 5213 3117 5213 2786 7448 2731 7448 1958 1489 1931 1489 1351 2234 1324 2234 882 6703 579 3724 137 744 27 2234 -27 12662 0 13406 165 17875 1268 17131 1572 20110 1737 16386 1931 16386 2400 20855 2537 17131 2703 20855 2979 20855 3172 16386 3779 17875 3806 17875 4137 22344 4331 18620 4965 17875 5048 16386 5737 17875 6344 17875 6868 17131 6868 16386 7227 17875 7310 16386 7337 12662 7641 19365 7972 16386 8055 14151 8193 17131 8717 20110 8800 17875 9268 17131 9544 20110 9820 11917 9986 14896 10455 23089 10675 17875 10979 17875 11062 16386 11089 12662 11393 19365 11724 16386 11806 14151 11944 17131 12441 19365 12524 17131 12689 20855 12910 21600 13186 17131 13682 17875 13737 16386 14013 18620 14206 16386 14262 13406 14455 17875 16468 17875 16524 8937 12689 -96082 17268 17875 17324 16386 17379 13406 17793 17131 17986 17131 18013 14151 18179 17131 18593 18620 18758 16386 19337 17875 19393 16386 20000 17875 20027 17875 20331 17875 20468 16386 20468 12662 20937 17875 21075 16386 21103 12662 21379 19365 21600 14151 21600 8937 21462 5213" fillcolor="silver" stroked="f">
          <v:textpath style="font-family:&quot;Arial&quot;;font-size:1pt" string="Draft in progress do not cite without permission of the authors"/>
        </v:shape>
      </w:pict>
    </w:r>
    <w:r>
      <w:rPr>
        <w:noProof/>
      </w:rPr>
      <w:pict w14:anchorId="225A1A92">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6D"/>
    <w:rsid w:val="00040747"/>
    <w:rsid w:val="00130C9C"/>
    <w:rsid w:val="002A229E"/>
    <w:rsid w:val="002A4800"/>
    <w:rsid w:val="002B2EEA"/>
    <w:rsid w:val="0038566D"/>
    <w:rsid w:val="003937D5"/>
    <w:rsid w:val="003D00D1"/>
    <w:rsid w:val="00416732"/>
    <w:rsid w:val="00491150"/>
    <w:rsid w:val="00521AA4"/>
    <w:rsid w:val="005F1BD4"/>
    <w:rsid w:val="00600438"/>
    <w:rsid w:val="006B669F"/>
    <w:rsid w:val="006B6FED"/>
    <w:rsid w:val="007035EB"/>
    <w:rsid w:val="008103D0"/>
    <w:rsid w:val="00965939"/>
    <w:rsid w:val="00A20A36"/>
    <w:rsid w:val="00B61063"/>
    <w:rsid w:val="00BE577A"/>
    <w:rsid w:val="00BF4FE6"/>
    <w:rsid w:val="00EE7DA1"/>
    <w:rsid w:val="00F364DF"/>
    <w:rsid w:val="00FB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388B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C9C"/>
    <w:pPr>
      <w:spacing w:line="276" w:lineRule="auto"/>
      <w:ind w:left="720"/>
      <w:contextualSpacing/>
    </w:pPr>
    <w:rPr>
      <w:rFonts w:asciiTheme="minorHAnsi" w:hAnsiTheme="minorHAnsi"/>
    </w:rPr>
  </w:style>
  <w:style w:type="numbering" w:customStyle="1" w:styleId="Singlepunch">
    <w:name w:val="Single punch"/>
    <w:rsid w:val="00130C9C"/>
    <w:pPr>
      <w:numPr>
        <w:numId w:val="1"/>
      </w:numPr>
    </w:pPr>
  </w:style>
  <w:style w:type="numbering" w:customStyle="1" w:styleId="Multipunch">
    <w:name w:val="Multi punch"/>
    <w:rsid w:val="003D00D1"/>
    <w:pPr>
      <w:numPr>
        <w:numId w:val="3"/>
      </w:numPr>
    </w:pPr>
  </w:style>
  <w:style w:type="character" w:styleId="Hyperlink">
    <w:name w:val="Hyperlink"/>
    <w:basedOn w:val="DefaultParagraphFont"/>
    <w:uiPriority w:val="99"/>
    <w:unhideWhenUsed/>
    <w:rsid w:val="00521AA4"/>
    <w:rPr>
      <w:color w:val="0000FF" w:themeColor="hyperlink"/>
      <w:u w:val="single"/>
    </w:rPr>
  </w:style>
  <w:style w:type="character" w:customStyle="1" w:styleId="highlight">
    <w:name w:val="highlight"/>
    <w:basedOn w:val="DefaultParagraphFont"/>
    <w:rsid w:val="00521AA4"/>
  </w:style>
  <w:style w:type="paragraph" w:styleId="Header">
    <w:name w:val="header"/>
    <w:basedOn w:val="Normal"/>
    <w:link w:val="HeaderChar"/>
    <w:uiPriority w:val="99"/>
    <w:unhideWhenUsed/>
    <w:rsid w:val="00A20A36"/>
    <w:pPr>
      <w:tabs>
        <w:tab w:val="center" w:pos="4320"/>
        <w:tab w:val="right" w:pos="8640"/>
      </w:tabs>
    </w:pPr>
  </w:style>
  <w:style w:type="character" w:customStyle="1" w:styleId="HeaderChar">
    <w:name w:val="Header Char"/>
    <w:basedOn w:val="DefaultParagraphFont"/>
    <w:link w:val="Header"/>
    <w:uiPriority w:val="99"/>
    <w:rsid w:val="00A20A36"/>
  </w:style>
  <w:style w:type="paragraph" w:styleId="Footer">
    <w:name w:val="footer"/>
    <w:basedOn w:val="Normal"/>
    <w:link w:val="FooterChar"/>
    <w:uiPriority w:val="99"/>
    <w:unhideWhenUsed/>
    <w:rsid w:val="00A20A36"/>
    <w:pPr>
      <w:tabs>
        <w:tab w:val="center" w:pos="4320"/>
        <w:tab w:val="right" w:pos="8640"/>
      </w:tabs>
    </w:pPr>
  </w:style>
  <w:style w:type="character" w:customStyle="1" w:styleId="FooterChar">
    <w:name w:val="Footer Char"/>
    <w:basedOn w:val="DefaultParagraphFont"/>
    <w:link w:val="Footer"/>
    <w:uiPriority w:val="99"/>
    <w:rsid w:val="00A20A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C9C"/>
    <w:pPr>
      <w:spacing w:line="276" w:lineRule="auto"/>
      <w:ind w:left="720"/>
      <w:contextualSpacing/>
    </w:pPr>
    <w:rPr>
      <w:rFonts w:asciiTheme="minorHAnsi" w:hAnsiTheme="minorHAnsi"/>
    </w:rPr>
  </w:style>
  <w:style w:type="numbering" w:customStyle="1" w:styleId="Singlepunch">
    <w:name w:val="Single punch"/>
    <w:rsid w:val="00130C9C"/>
    <w:pPr>
      <w:numPr>
        <w:numId w:val="1"/>
      </w:numPr>
    </w:pPr>
  </w:style>
  <w:style w:type="numbering" w:customStyle="1" w:styleId="Multipunch">
    <w:name w:val="Multi punch"/>
    <w:rsid w:val="003D00D1"/>
    <w:pPr>
      <w:numPr>
        <w:numId w:val="3"/>
      </w:numPr>
    </w:pPr>
  </w:style>
  <w:style w:type="character" w:styleId="Hyperlink">
    <w:name w:val="Hyperlink"/>
    <w:basedOn w:val="DefaultParagraphFont"/>
    <w:uiPriority w:val="99"/>
    <w:unhideWhenUsed/>
    <w:rsid w:val="00521AA4"/>
    <w:rPr>
      <w:color w:val="0000FF" w:themeColor="hyperlink"/>
      <w:u w:val="single"/>
    </w:rPr>
  </w:style>
  <w:style w:type="character" w:customStyle="1" w:styleId="highlight">
    <w:name w:val="highlight"/>
    <w:basedOn w:val="DefaultParagraphFont"/>
    <w:rsid w:val="00521AA4"/>
  </w:style>
  <w:style w:type="paragraph" w:styleId="Header">
    <w:name w:val="header"/>
    <w:basedOn w:val="Normal"/>
    <w:link w:val="HeaderChar"/>
    <w:uiPriority w:val="99"/>
    <w:unhideWhenUsed/>
    <w:rsid w:val="00A20A36"/>
    <w:pPr>
      <w:tabs>
        <w:tab w:val="center" w:pos="4320"/>
        <w:tab w:val="right" w:pos="8640"/>
      </w:tabs>
    </w:pPr>
  </w:style>
  <w:style w:type="character" w:customStyle="1" w:styleId="HeaderChar">
    <w:name w:val="Header Char"/>
    <w:basedOn w:val="DefaultParagraphFont"/>
    <w:link w:val="Header"/>
    <w:uiPriority w:val="99"/>
    <w:rsid w:val="00A20A36"/>
  </w:style>
  <w:style w:type="paragraph" w:styleId="Footer">
    <w:name w:val="footer"/>
    <w:basedOn w:val="Normal"/>
    <w:link w:val="FooterChar"/>
    <w:uiPriority w:val="99"/>
    <w:unhideWhenUsed/>
    <w:rsid w:val="00A20A36"/>
    <w:pPr>
      <w:tabs>
        <w:tab w:val="center" w:pos="4320"/>
        <w:tab w:val="right" w:pos="8640"/>
      </w:tabs>
    </w:pPr>
  </w:style>
  <w:style w:type="character" w:customStyle="1" w:styleId="FooterChar">
    <w:name w:val="Footer Char"/>
    <w:basedOn w:val="DefaultParagraphFont"/>
    <w:link w:val="Footer"/>
    <w:uiPriority w:val="99"/>
    <w:rsid w:val="00A2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frazer@strengthinnumbersconsulting.com" TargetMode="External"/><Relationship Id="rId20" Type="http://schemas.openxmlformats.org/officeDocument/2006/relationships/theme" Target="theme/theme1.xml"/><Relationship Id="rId10" Type="http://schemas.openxmlformats.org/officeDocument/2006/relationships/hyperlink" Target="http://tools.nccor.org/css/system/53/" TargetMode="External"/><Relationship Id="rId11" Type="http://schemas.openxmlformats.org/officeDocument/2006/relationships/hyperlink" Target="http://www.ers.usda.gov/topics/food-nutrition-assistance/food-security-in-the-us/survey-tools.aspx" TargetMode="External"/><Relationship Id="rId12" Type="http://schemas.openxmlformats.org/officeDocument/2006/relationships/hyperlink" Target="http://hrms.urban.org/survey-instrument/HRMS-Quarter-1-2015-survey.pdf"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431B-9233-4045-B725-EF973760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2644</Words>
  <Characters>15076</Characters>
  <Application>Microsoft Macintosh Word</Application>
  <DocSecurity>0</DocSecurity>
  <Lines>125</Lines>
  <Paragraphs>35</Paragraphs>
  <ScaleCrop>false</ScaleCrop>
  <Company/>
  <LinksUpToDate>false</LinksUpToDate>
  <CharactersWithSpaces>17685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Somjen Frazer</dc:creator>
  <cp:keywords/>
  <dc:description/>
  <cp:lastModifiedBy>Somjen Frazer</cp:lastModifiedBy>
  <cp:revision>3</cp:revision>
  <cp:lastPrinted>2015-11-10T15:29:00Z</cp:lastPrinted>
  <dcterms:created xsi:type="dcterms:W3CDTF">2015-11-10T15:29:00Z</dcterms:created>
  <dcterms:modified xsi:type="dcterms:W3CDTF">2015-11-10T19:46:00Z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id="d0iOuEfb"/&gt;&lt;style id="http://www.zotero.org/styles/american-medical-association" hasBibliography="1" bibliographyStyleHasBeenSet="0"/&gt;&lt;prefs&gt;&lt;pref name="fieldType" value="Field"/&gt;&lt;pref name="st</vt:lpwstr>
  </property>
  <property fmtid="{D5CDD505-2E9C-101B-9397-08002B2CF9AE}" pid="3" name="ZOTERO_PREF_2">
    <vt:lpwstr>oreReferences" value="true"/&gt;&lt;pref name="automaticJournalAbbreviations" value="true"/&gt;&lt;pref name="noteType" value=""/&gt;&lt;/prefs&gt;&lt;/data&gt;</vt:lpwstr>
  </property>
</Properties>
</file>